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Calibri" w:hAnsi="Calibri"/>
          <w:b/>
          <w:color w:val="646E78"/>
          <w:sz w:val="24"/>
        </w:rPr>
        <w:t>CODFORD PARISH COUNCIL</w:t>
        <w:br/>
      </w:r>
      <w:r>
        <w:rPr>
          <w:rFonts w:ascii="Calibri" w:hAnsi="Calibri"/>
          <w:b/>
          <w:color w:val="003366"/>
          <w:sz w:val="34"/>
        </w:rPr>
        <w:t>SPECIAL PLANNING ADVISORY: OCTOBER 31ST 2026 REFORMS &amp; SCHEDULE 2</w:t>
      </w:r>
    </w:p>
    <w:tbl>
      <w:tblPr>
        <w:tblW w:type="auto" w:w="0"/>
        <w:jc w:val="center"/>
        <w:tblLayout w:type="fixed"/>
        <w:tblLook w:firstColumn="1" w:firstRow="1" w:lastColumn="0" w:lastRow="0" w:noHBand="0" w:noVBand="1" w:val="04A0"/>
      </w:tblPr>
      <w:tblGrid>
        <w:gridCol w:w="4968"/>
        <w:gridCol w:w="4968"/>
      </w:tblGrid>
      <w:tr>
        <w:tc>
          <w:tcPr>
            <w:tcW w:type="dxa" w:w="2736"/>
            <w:shd w:fill="F4F6F9"/>
            <w:tcMar>
              <w:top w:w="60" w:type="dxa"/>
              <w:bottom w:w="60" w:type="dxa"/>
              <w:left w:w="100" w:type="dxa"/>
              <w:right w:w="100" w:type="dxa"/>
            </w:tcMar>
          </w:tcPr>
          <w:p>
            <w:pPr>
              <w:spacing w:after="0"/>
            </w:pPr>
            <w:r>
              <w:rPr>
                <w:rFonts w:ascii="Calibri" w:hAnsi="Calibri"/>
                <w:b/>
                <w:color w:val="003366"/>
                <w:sz w:val="19"/>
              </w:rPr>
              <w:t>Subject:</w:t>
            </w:r>
          </w:p>
        </w:tc>
        <w:tc>
          <w:tcPr>
            <w:tcW w:type="dxa" w:w="6624"/>
            <w:shd w:fill="FFFFFF"/>
            <w:tcMar>
              <w:top w:w="60" w:type="dxa"/>
              <w:bottom w:w="60" w:type="dxa"/>
              <w:left w:w="100" w:type="dxa"/>
              <w:right w:w="100" w:type="dxa"/>
            </w:tcMar>
          </w:tcPr>
          <w:p>
            <w:pPr>
              <w:spacing w:after="0"/>
            </w:pPr>
            <w:r>
              <w:rPr>
                <w:rFonts w:ascii="Calibri" w:hAnsi="Calibri"/>
                <w:color w:val="333333"/>
                <w:sz w:val="19"/>
              </w:rPr>
              <w:t>Impact of Town &amp; Country Planning (Discharge of Functions) Regs 2026</w:t>
            </w:r>
          </w:p>
        </w:tc>
      </w:tr>
      <w:tr>
        <w:tc>
          <w:tcPr>
            <w:tcW w:type="dxa" w:w="2736"/>
            <w:shd w:fill="F4F6F9"/>
            <w:tcMar>
              <w:top w:w="60" w:type="dxa"/>
              <w:bottom w:w="60" w:type="dxa"/>
              <w:left w:w="100" w:type="dxa"/>
              <w:right w:w="100" w:type="dxa"/>
            </w:tcMar>
          </w:tcPr>
          <w:p>
            <w:pPr>
              <w:spacing w:after="0"/>
            </w:pPr>
            <w:r>
              <w:rPr>
                <w:rFonts w:ascii="Calibri" w:hAnsi="Calibri"/>
                <w:b/>
                <w:color w:val="003366"/>
                <w:sz w:val="19"/>
              </w:rPr>
              <w:t>Target Application:</w:t>
            </w:r>
          </w:p>
        </w:tc>
        <w:tc>
          <w:tcPr>
            <w:tcW w:type="dxa" w:w="6624"/>
            <w:shd w:fill="FFFFFF"/>
            <w:tcMar>
              <w:top w:w="60" w:type="dxa"/>
              <w:bottom w:w="60" w:type="dxa"/>
              <w:left w:w="100" w:type="dxa"/>
              <w:right w:w="100" w:type="dxa"/>
            </w:tcMar>
          </w:tcPr>
          <w:p>
            <w:pPr>
              <w:spacing w:after="0"/>
            </w:pPr>
            <w:r>
              <w:rPr>
                <w:rFonts w:ascii="Calibri" w:hAnsi="Calibri"/>
                <w:color w:val="333333"/>
                <w:sz w:val="19"/>
              </w:rPr>
              <w:t>Outline Residential Development (Up to 60 Dwellings), Chitterne Road</w:t>
            </w:r>
          </w:p>
        </w:tc>
      </w:tr>
      <w:tr>
        <w:tc>
          <w:tcPr>
            <w:tcW w:type="dxa" w:w="2736"/>
            <w:shd w:fill="F4F6F9"/>
            <w:tcMar>
              <w:top w:w="60" w:type="dxa"/>
              <w:bottom w:w="60" w:type="dxa"/>
              <w:left w:w="100" w:type="dxa"/>
              <w:right w:w="100" w:type="dxa"/>
            </w:tcMar>
          </w:tcPr>
          <w:p>
            <w:pPr>
              <w:spacing w:after="0"/>
            </w:pPr>
            <w:r>
              <w:rPr>
                <w:rFonts w:ascii="Calibri" w:hAnsi="Calibri"/>
                <w:b/>
                <w:color w:val="003366"/>
                <w:sz w:val="19"/>
              </w:rPr>
              <w:t>Author:</w:t>
            </w:r>
          </w:p>
        </w:tc>
        <w:tc>
          <w:tcPr>
            <w:tcW w:type="dxa" w:w="6624"/>
            <w:shd w:fill="FFFFFF"/>
            <w:tcMar>
              <w:top w:w="60" w:type="dxa"/>
              <w:bottom w:w="60" w:type="dxa"/>
              <w:left w:w="100" w:type="dxa"/>
              <w:right w:w="100" w:type="dxa"/>
            </w:tcMar>
          </w:tcPr>
          <w:p>
            <w:pPr>
              <w:spacing w:after="0"/>
            </w:pPr>
            <w:r>
              <w:rPr>
                <w:rFonts w:ascii="Calibri" w:hAnsi="Calibri"/>
                <w:color w:val="333333"/>
                <w:sz w:val="19"/>
              </w:rPr>
              <w:t>Strategic Planning Working Group for Codford Parish Council</w:t>
            </w:r>
          </w:p>
        </w:tc>
      </w:tr>
      <w:tr>
        <w:tc>
          <w:tcPr>
            <w:tcW w:type="dxa" w:w="2736"/>
            <w:shd w:fill="F4F6F9"/>
            <w:tcMar>
              <w:top w:w="60" w:type="dxa"/>
              <w:bottom w:w="60" w:type="dxa"/>
              <w:left w:w="100" w:type="dxa"/>
              <w:right w:w="100" w:type="dxa"/>
            </w:tcMar>
          </w:tcPr>
          <w:p>
            <w:pPr>
              <w:spacing w:after="0"/>
            </w:pPr>
            <w:r>
              <w:rPr>
                <w:rFonts w:ascii="Calibri" w:hAnsi="Calibri"/>
                <w:b/>
                <w:color w:val="003366"/>
                <w:sz w:val="19"/>
              </w:rPr>
              <w:t>Date &amp; Status:</w:t>
            </w:r>
          </w:p>
        </w:tc>
        <w:tc>
          <w:tcPr>
            <w:tcW w:type="dxa" w:w="6624"/>
            <w:shd w:fill="FFFFFF"/>
            <w:tcMar>
              <w:top w:w="60" w:type="dxa"/>
              <w:bottom w:w="60" w:type="dxa"/>
              <w:left w:w="100" w:type="dxa"/>
              <w:right w:w="100" w:type="dxa"/>
            </w:tcMar>
          </w:tcPr>
          <w:p>
            <w:pPr>
              <w:spacing w:after="0"/>
            </w:pPr>
            <w:r>
              <w:rPr>
                <w:rFonts w:ascii="Calibri" w:hAnsi="Calibri"/>
                <w:color w:val="333333"/>
                <w:sz w:val="19"/>
              </w:rPr>
              <w:t>October 2026 • Official Councillor Advisory &amp; Tactical Briefing</w:t>
            </w:r>
          </w:p>
        </w:tc>
      </w:tr>
      <w:tr>
        <w:tc>
          <w:tcPr>
            <w:tcW w:type="dxa" w:w="2736"/>
            <w:shd w:fill="F4F6F9"/>
            <w:tcMar>
              <w:top w:w="60" w:type="dxa"/>
              <w:bottom w:w="60" w:type="dxa"/>
              <w:left w:w="100" w:type="dxa"/>
              <w:right w:w="100" w:type="dxa"/>
            </w:tcMar>
          </w:tcPr>
          <w:p>
            <w:pPr>
              <w:spacing w:after="0"/>
            </w:pPr>
            <w:r>
              <w:rPr>
                <w:rFonts w:ascii="Calibri" w:hAnsi="Calibri"/>
                <w:b/>
                <w:color w:val="003366"/>
                <w:sz w:val="19"/>
              </w:rPr>
              <w:t>Core Legal Trigger:</w:t>
            </w:r>
          </w:p>
        </w:tc>
        <w:tc>
          <w:tcPr>
            <w:tcW w:type="dxa" w:w="6624"/>
            <w:shd w:fill="FFFFFF"/>
            <w:tcMar>
              <w:top w:w="60" w:type="dxa"/>
              <w:bottom w:w="60" w:type="dxa"/>
              <w:left w:w="100" w:type="dxa"/>
              <w:right w:w="100" w:type="dxa"/>
            </w:tcMar>
          </w:tcPr>
          <w:p>
            <w:pPr>
              <w:spacing w:after="0"/>
            </w:pPr>
            <w:r>
              <w:rPr>
                <w:rFonts w:ascii="Calibri" w:hAnsi="Calibri"/>
                <w:color w:val="333333"/>
                <w:sz w:val="19"/>
              </w:rPr>
              <w:t>National Scheme of Delegation &amp; EIA Schedule 2 Environmental Screening</w:t>
            </w:r>
          </w:p>
        </w:tc>
      </w:tr>
    </w:tbl>
    <w:p>
      <w:pPr>
        <w:spacing w:after="160"/>
      </w:pPr>
    </w:p>
    <w:tbl>
      <w:tblPr>
        <w:tblW w:type="auto" w:w="0"/>
        <w:jc w:val="center"/>
        <w:tblLayout w:type="fixed"/>
        <w:tblLook w:firstColumn="1" w:firstRow="1" w:lastColumn="0" w:lastRow="0" w:noHBand="0" w:noVBand="1" w:val="04A0"/>
      </w:tblPr>
      <w:tblGrid>
        <w:gridCol w:w="9936"/>
      </w:tblGrid>
      <w:tr>
        <w:tc>
          <w:tcPr>
            <w:tcW w:type="dxa" w:w="9360"/>
            <w:shd w:fill="F0F4F8"/>
            <w:tcMar>
              <w:top w:w="160" w:type="dxa"/>
              <w:bottom w:w="160" w:type="dxa"/>
              <w:left w:w="200" w:type="dxa"/>
              <w:right w:w="200" w:type="dxa"/>
            </w:tcMar>
            <w:tcBorders>
              <w:top w:val="none"/>
              <w:left w:val="single" w:sz="36" w:space="0" w:color="003366"/>
              <w:bottom w:val="none"/>
              <w:right w:val="none"/>
            </w:tcBorders>
          </w:tcPr>
          <w:p>
            <w:pPr>
              <w:spacing w:before="0" w:after="80" w:line="276" w:lineRule="auto"/>
            </w:pPr>
            <w:r>
              <w:rPr>
                <w:rFonts w:ascii="Calibri" w:hAnsi="Calibri"/>
                <w:b/>
                <w:color w:val="003366"/>
                <w:sz w:val="22"/>
              </w:rPr>
              <w:t>EXECUTIVE SUMMARY: KEY OPERATIONAL TAKEAWAYS</w:t>
              <w:br/>
            </w:r>
            <w:r>
              <w:rPr>
                <w:rFonts w:ascii="Calibri" w:hAnsi="Calibri"/>
                <w:color w:val="333333"/>
                <w:sz w:val="21"/>
              </w:rPr>
              <w:t>On 31 October 2026, statutory reforms under the Planning and Infrastructure Act 2025 and The Town and Country Planning (Discharge of Local Planning Authority Functions) (England) Regulations 2026 fundamentally change how planning decisions are made in England.</w:t>
              <w:br/>
              <w:br/>
              <w:t>1. Automatic Call-Ins Abolished: Planning officer delegation becomes the universal default. A call-in request from our Unitary Councillor or a Parish objection will no longer automatically send this application to the Southern Area Planning Committee.</w:t>
              <w:br/>
              <w:t>2. The Gateway Test: Referral to elected Councillors now requires passing a statutory 'Gateway Test' demonstrating significant community, environmental, or strategic policy impact.</w:t>
              <w:br/>
              <w:t>3. Dual Schedule 2 Classification: The scheme is a Schedule 2 Major Application (Scheme of Delegation) and a Schedule 2 EIA Development (River Wylye SAC / Salisbury Plain SPA sensitive receptors).</w:t>
              <w:br/>
              <w:t>4. Tactical Mandate: S106 mitigations (£400k Village Hall Renewal, £260k Footway, 250 PE Reed Bed) must be locked in with Planning Officers during pre-determination assessment.</w:t>
            </w:r>
          </w:p>
        </w:tc>
      </w:tr>
    </w:tbl>
    <w:p>
      <w:pPr>
        <w:spacing w:after="120"/>
      </w:pPr>
    </w:p>
    <w:p>
      <w:pPr>
        <w:keepNext/>
        <w:spacing w:before="280" w:after="80"/>
      </w:pPr>
      <w:r>
        <w:rPr>
          <w:rFonts w:ascii="Calibri" w:hAnsi="Calibri"/>
          <w:b/>
          <w:color w:val="003366"/>
          <w:sz w:val="26"/>
        </w:rPr>
        <w:t>1. Dual Schedule 2 Classification: Governance vs Environment</w:t>
      </w:r>
    </w:p>
    <w:p>
      <w:pPr>
        <w:spacing w:before="0" w:after="80" w:line="276" w:lineRule="auto"/>
      </w:pPr>
      <w:r>
        <w:rPr>
          <w:rFonts w:ascii="Calibri" w:hAnsi="Calibri"/>
          <w:color w:val="333333"/>
          <w:sz w:val="21"/>
        </w:rPr>
        <w:t>Councillors must distinguish between the two separate statutory frameworks using the term 'Schedule 2':</w:t>
      </w:r>
    </w:p>
    <w:tbl>
      <w:tblPr>
        <w:tblW w:type="auto" w:w="0"/>
        <w:jc w:val="center"/>
        <w:tblLayout w:type="fixed"/>
        <w:tblLook w:firstColumn="1" w:firstRow="1" w:lastColumn="0" w:lastRow="0" w:noHBand="0" w:noVBand="1" w:val="04A0"/>
      </w:tblPr>
      <w:tblGrid>
        <w:gridCol w:w="3312"/>
        <w:gridCol w:w="3312"/>
        <w:gridCol w:w="3312"/>
      </w:tblGrid>
      <w:tr>
        <w:tc>
          <w:tcPr>
            <w:tcW w:type="dxa" w:w="2160"/>
            <w:shd w:fill="003366"/>
            <w:tcMar>
              <w:top w:w="80" w:type="dxa"/>
              <w:bottom w:w="80" w:type="dxa"/>
              <w:left w:w="100" w:type="dxa"/>
              <w:right w:w="100" w:type="dxa"/>
            </w:tcMar>
          </w:tcPr>
          <w:p>
            <w:pPr>
              <w:spacing w:after="0"/>
            </w:pPr>
            <w:r>
              <w:rPr>
                <w:rFonts w:ascii="Calibri" w:hAnsi="Calibri"/>
                <w:b/>
                <w:color w:val="FFFFFF"/>
                <w:sz w:val="19"/>
              </w:rPr>
              <w:t>Dimension</w:t>
            </w:r>
          </w:p>
        </w:tc>
        <w:tc>
          <w:tcPr>
            <w:tcW w:type="dxa" w:w="3600"/>
            <w:shd w:fill="003366"/>
            <w:tcMar>
              <w:top w:w="80" w:type="dxa"/>
              <w:bottom w:w="80" w:type="dxa"/>
              <w:left w:w="100" w:type="dxa"/>
              <w:right w:w="100" w:type="dxa"/>
            </w:tcMar>
          </w:tcPr>
          <w:p>
            <w:pPr>
              <w:spacing w:after="0"/>
            </w:pPr>
            <w:r>
              <w:rPr>
                <w:rFonts w:ascii="Calibri" w:hAnsi="Calibri"/>
                <w:b/>
                <w:color w:val="FFFFFF"/>
                <w:sz w:val="19"/>
              </w:rPr>
              <w:t>National Scheme of Delegation (2026)</w:t>
            </w:r>
          </w:p>
        </w:tc>
        <w:tc>
          <w:tcPr>
            <w:tcW w:type="dxa" w:w="3600"/>
            <w:shd w:fill="003366"/>
            <w:tcMar>
              <w:top w:w="80" w:type="dxa"/>
              <w:bottom w:w="80" w:type="dxa"/>
              <w:left w:w="100" w:type="dxa"/>
              <w:right w:w="100" w:type="dxa"/>
            </w:tcMar>
          </w:tcPr>
          <w:p>
            <w:pPr>
              <w:spacing w:after="0"/>
            </w:pPr>
            <w:r>
              <w:rPr>
                <w:rFonts w:ascii="Calibri" w:hAnsi="Calibri"/>
                <w:b/>
                <w:color w:val="FFFFFF"/>
                <w:sz w:val="19"/>
              </w:rPr>
              <w:t>EIA Regulations (2017)</w:t>
            </w:r>
          </w:p>
        </w:tc>
      </w:tr>
      <w:tr>
        <w:tc>
          <w:tcPr>
            <w:tcW w:type="dxa" w:w="2160"/>
            <w:shd w:fill="F9FBFD"/>
            <w:tcMar>
              <w:top w:w="60" w:type="dxa"/>
              <w:bottom w:w="60" w:type="dxa"/>
              <w:left w:w="80" w:type="dxa"/>
              <w:right w:w="80" w:type="dxa"/>
            </w:tcMar>
          </w:tcPr>
          <w:p>
            <w:pPr>
              <w:spacing w:after="0"/>
            </w:pPr>
            <w:r>
              <w:rPr>
                <w:rFonts w:ascii="Calibri" w:hAnsi="Calibri"/>
                <w:b/>
                <w:color w:val="333333"/>
                <w:sz w:val="18"/>
              </w:rPr>
              <w:t>Primary Statute</w:t>
            </w:r>
          </w:p>
        </w:tc>
        <w:tc>
          <w:tcPr>
            <w:tcW w:type="dxa" w:w="3600"/>
            <w:shd w:fill="F9FBFD"/>
            <w:tcMar>
              <w:top w:w="60" w:type="dxa"/>
              <w:bottom w:w="60" w:type="dxa"/>
              <w:left w:w="80" w:type="dxa"/>
              <w:right w:w="80" w:type="dxa"/>
            </w:tcMar>
          </w:tcPr>
          <w:p>
            <w:pPr>
              <w:spacing w:after="0"/>
            </w:pPr>
            <w:r>
              <w:rPr>
                <w:rFonts w:ascii="Calibri" w:hAnsi="Calibri"/>
                <w:color w:val="333333"/>
                <w:sz w:val="18"/>
              </w:rPr>
              <w:t>Planning &amp; Infrastructure Act 2025 / 2026 Regulations</w:t>
            </w:r>
          </w:p>
        </w:tc>
        <w:tc>
          <w:tcPr>
            <w:tcW w:type="dxa" w:w="3600"/>
            <w:shd w:fill="F9FBFD"/>
            <w:tcMar>
              <w:top w:w="60" w:type="dxa"/>
              <w:bottom w:w="60" w:type="dxa"/>
              <w:left w:w="80" w:type="dxa"/>
              <w:right w:w="80" w:type="dxa"/>
            </w:tcMar>
          </w:tcPr>
          <w:p>
            <w:pPr>
              <w:spacing w:after="0"/>
            </w:pPr>
            <w:r>
              <w:rPr>
                <w:rFonts w:ascii="Calibri" w:hAnsi="Calibri"/>
                <w:color w:val="333333"/>
                <w:sz w:val="18"/>
              </w:rPr>
              <w:t>Town &amp; Country Planning (EIA) Regulations 2017</w:t>
            </w:r>
          </w:p>
        </w:tc>
      </w:tr>
      <w:tr>
        <w:tc>
          <w:tcPr>
            <w:tcW w:type="dxa" w:w="2160"/>
            <w:shd w:fill="FFFFFF"/>
            <w:tcMar>
              <w:top w:w="60" w:type="dxa"/>
              <w:bottom w:w="60" w:type="dxa"/>
              <w:left w:w="80" w:type="dxa"/>
              <w:right w:w="80" w:type="dxa"/>
            </w:tcMar>
          </w:tcPr>
          <w:p>
            <w:pPr>
              <w:spacing w:after="0"/>
            </w:pPr>
            <w:r>
              <w:rPr>
                <w:rFonts w:ascii="Calibri" w:hAnsi="Calibri"/>
                <w:b/>
                <w:color w:val="333333"/>
                <w:sz w:val="18"/>
              </w:rPr>
              <w:t>Schedule 2 Definition</w:t>
            </w:r>
          </w:p>
        </w:tc>
        <w:tc>
          <w:tcPr>
            <w:tcW w:type="dxa" w:w="3600"/>
            <w:shd w:fill="FFFFFF"/>
            <w:tcMar>
              <w:top w:w="60" w:type="dxa"/>
              <w:bottom w:w="60" w:type="dxa"/>
              <w:left w:w="80" w:type="dxa"/>
              <w:right w:w="80" w:type="dxa"/>
            </w:tcMar>
          </w:tcPr>
          <w:p>
            <w:pPr>
              <w:spacing w:after="0"/>
            </w:pPr>
            <w:r>
              <w:rPr>
                <w:rFonts w:ascii="Calibri" w:hAnsi="Calibri"/>
                <w:color w:val="333333"/>
                <w:sz w:val="18"/>
              </w:rPr>
              <w:t>Major residential schemes (10 to 100 dwellings or 0.5 to 5 ha)</w:t>
            </w:r>
          </w:p>
        </w:tc>
        <w:tc>
          <w:tcPr>
            <w:tcW w:type="dxa" w:w="3600"/>
            <w:shd w:fill="FFFFFF"/>
            <w:tcMar>
              <w:top w:w="60" w:type="dxa"/>
              <w:bottom w:w="60" w:type="dxa"/>
              <w:left w:w="80" w:type="dxa"/>
              <w:right w:w="80" w:type="dxa"/>
            </w:tcMar>
          </w:tcPr>
          <w:p>
            <w:pPr>
              <w:spacing w:after="0"/>
            </w:pPr>
            <w:r>
              <w:rPr>
                <w:rFonts w:ascii="Calibri" w:hAnsi="Calibri"/>
                <w:color w:val="333333"/>
                <w:sz w:val="18"/>
              </w:rPr>
              <w:t>Urban development in or adjacent to statutory 'Sensitive Areas'</w:t>
            </w:r>
          </w:p>
        </w:tc>
      </w:tr>
      <w:tr>
        <w:tc>
          <w:tcPr>
            <w:tcW w:type="dxa" w:w="2160"/>
            <w:shd w:fill="F9FBFD"/>
            <w:tcMar>
              <w:top w:w="60" w:type="dxa"/>
              <w:bottom w:w="60" w:type="dxa"/>
              <w:left w:w="80" w:type="dxa"/>
              <w:right w:w="80" w:type="dxa"/>
            </w:tcMar>
          </w:tcPr>
          <w:p>
            <w:pPr>
              <w:spacing w:after="0"/>
            </w:pPr>
            <w:r>
              <w:rPr>
                <w:rFonts w:ascii="Calibri" w:hAnsi="Calibri"/>
                <w:b/>
                <w:color w:val="333333"/>
                <w:sz w:val="18"/>
              </w:rPr>
              <w:t>Core Statutory Question</w:t>
            </w:r>
          </w:p>
        </w:tc>
        <w:tc>
          <w:tcPr>
            <w:tcW w:type="dxa" w:w="3600"/>
            <w:shd w:fill="F9FBFD"/>
            <w:tcMar>
              <w:top w:w="60" w:type="dxa"/>
              <w:bottom w:w="60" w:type="dxa"/>
              <w:left w:w="80" w:type="dxa"/>
              <w:right w:w="80" w:type="dxa"/>
            </w:tcMar>
          </w:tcPr>
          <w:p>
            <w:pPr>
              <w:spacing w:after="0"/>
            </w:pPr>
            <w:r>
              <w:rPr>
                <w:rFonts w:ascii="Calibri" w:hAnsi="Calibri"/>
                <w:color w:val="333333"/>
                <w:sz w:val="18"/>
              </w:rPr>
              <w:t>Who makes the decision? (Planning Officer vs Elected Committee)</w:t>
            </w:r>
          </w:p>
        </w:tc>
        <w:tc>
          <w:tcPr>
            <w:tcW w:type="dxa" w:w="3600"/>
            <w:shd w:fill="F9FBFD"/>
            <w:tcMar>
              <w:top w:w="60" w:type="dxa"/>
              <w:bottom w:w="60" w:type="dxa"/>
              <w:left w:w="80" w:type="dxa"/>
              <w:right w:w="80" w:type="dxa"/>
            </w:tcMar>
          </w:tcPr>
          <w:p>
            <w:pPr>
              <w:spacing w:after="0"/>
            </w:pPr>
            <w:r>
              <w:rPr>
                <w:rFonts w:ascii="Calibri" w:hAnsi="Calibri"/>
                <w:color w:val="333333"/>
                <w:sz w:val="18"/>
              </w:rPr>
              <w:t>Is an Environmental Statement &amp; HRA Assessment required?</w:t>
            </w:r>
          </w:p>
        </w:tc>
      </w:tr>
      <w:tr>
        <w:tc>
          <w:tcPr>
            <w:tcW w:type="dxa" w:w="2160"/>
            <w:shd w:fill="FFFFFF"/>
            <w:tcMar>
              <w:top w:w="60" w:type="dxa"/>
              <w:bottom w:w="60" w:type="dxa"/>
              <w:left w:w="80" w:type="dxa"/>
              <w:right w:w="80" w:type="dxa"/>
            </w:tcMar>
          </w:tcPr>
          <w:p>
            <w:pPr>
              <w:spacing w:after="0"/>
            </w:pPr>
            <w:r>
              <w:rPr>
                <w:rFonts w:ascii="Calibri" w:hAnsi="Calibri"/>
                <w:b/>
                <w:color w:val="333333"/>
                <w:sz w:val="18"/>
              </w:rPr>
              <w:t>Impact on Codford</w:t>
            </w:r>
          </w:p>
        </w:tc>
        <w:tc>
          <w:tcPr>
            <w:tcW w:type="dxa" w:w="3600"/>
            <w:shd w:fill="FFFFFF"/>
            <w:tcMar>
              <w:top w:w="60" w:type="dxa"/>
              <w:bottom w:w="60" w:type="dxa"/>
              <w:left w:w="80" w:type="dxa"/>
              <w:right w:w="80" w:type="dxa"/>
            </w:tcMar>
          </w:tcPr>
          <w:p>
            <w:pPr>
              <w:spacing w:after="0"/>
            </w:pPr>
            <w:r>
              <w:rPr>
                <w:rFonts w:ascii="Calibri" w:hAnsi="Calibri"/>
                <w:color w:val="333333"/>
                <w:sz w:val="18"/>
              </w:rPr>
              <w:t>Mandates a formal 'Gateway Test' to secure a public committee hearing.</w:t>
            </w:r>
          </w:p>
        </w:tc>
        <w:tc>
          <w:tcPr>
            <w:tcW w:type="dxa" w:w="3600"/>
            <w:shd w:fill="FFFFFF"/>
            <w:tcMar>
              <w:top w:w="60" w:type="dxa"/>
              <w:bottom w:w="60" w:type="dxa"/>
              <w:left w:w="80" w:type="dxa"/>
              <w:right w:w="80" w:type="dxa"/>
            </w:tcMar>
          </w:tcPr>
          <w:p>
            <w:pPr>
              <w:spacing w:after="0"/>
            </w:pPr>
            <w:r>
              <w:rPr>
                <w:rFonts w:ascii="Calibri" w:hAnsi="Calibri"/>
                <w:color w:val="333333"/>
                <w:sz w:val="18"/>
              </w:rPr>
              <w:t>Enforces nutrient neutrality and binding ecological reed bed drainage.</w:t>
            </w:r>
          </w:p>
        </w:tc>
      </w:tr>
    </w:tbl>
    <w:p>
      <w:pPr>
        <w:spacing w:after="160"/>
      </w:pPr>
    </w:p>
    <w:p>
      <w:pPr>
        <w:keepNext/>
        <w:spacing w:before="280" w:after="80"/>
      </w:pPr>
      <w:r>
        <w:rPr>
          <w:rFonts w:ascii="Calibri" w:hAnsi="Calibri"/>
          <w:b/>
          <w:color w:val="003366"/>
          <w:sz w:val="26"/>
        </w:rPr>
        <w:t>2. The National Scheme of Delegation (Effective 31 October 2026)</w:t>
      </w:r>
    </w:p>
    <w:p>
      <w:pPr>
        <w:spacing w:before="0" w:after="80" w:line="276" w:lineRule="auto"/>
      </w:pPr>
      <w:r>
        <w:rPr>
          <w:rFonts w:ascii="Calibri" w:hAnsi="Calibri"/>
          <w:color w:val="333333"/>
          <w:sz w:val="21"/>
        </w:rPr>
        <w:t>Prior to 31 October 2026, an objection from Codford Parish Council coupled with a call-in request from our Wiltshire Councillor virtually guaranteed a public debate at the Southern Area Planning Committee.</w:t>
      </w:r>
    </w:p>
    <w:p>
      <w:pPr>
        <w:spacing w:before="0" w:after="80" w:line="276" w:lineRule="auto"/>
      </w:pPr>
      <w:r>
        <w:rPr>
          <w:rFonts w:ascii="Calibri" w:hAnsi="Calibri"/>
          <w:color w:val="333333"/>
          <w:sz w:val="21"/>
        </w:rPr>
        <w:t>Under the new regulations, officer delegation is the statutory baseline. Planning committees are restricted in size (maximum 13 members) and reserved solely for strategic schemes satisfying the statutory Gateway Test.</w:t>
      </w:r>
    </w:p>
    <w:p>
      <w:pPr>
        <w:spacing w:before="0" w:after="80" w:line="276" w:lineRule="auto"/>
      </w:pPr>
      <w:r>
        <w:rPr>
          <w:rFonts w:ascii="Calibri" w:hAnsi="Calibri"/>
          <w:color w:val="333333"/>
          <w:sz w:val="21"/>
        </w:rPr>
        <w:t>To pass the Gateway Test, the Chief Planning Officer and Committee Chair must agree that the scheme meets at least one of three thresholds:</w:t>
      </w:r>
    </w:p>
    <w:p>
      <w:pPr>
        <w:spacing w:before="0" w:after="80" w:line="276" w:lineRule="auto"/>
      </w:pPr>
      <w:r>
        <w:rPr>
          <w:rFonts w:ascii="Calibri" w:hAnsi="Calibri"/>
          <w:b/>
          <w:color w:val="1E1E1E"/>
          <w:sz w:val="21"/>
        </w:rPr>
        <w:t>1. Strategic Policy Conflict:</w:t>
      </w:r>
      <w:r>
        <w:rPr>
          <w:rFonts w:ascii="Calibri" w:hAnsi="Calibri"/>
          <w:color w:val="333333"/>
          <w:sz w:val="21"/>
        </w:rPr>
        <w:t xml:space="preserve"> Substantial departure from adopted Local Plan policies (e.g., speculative rural development during a 2.03-year housing deficit).</w:t>
      </w:r>
    </w:p>
    <w:p>
      <w:pPr>
        <w:spacing w:before="0" w:after="80" w:line="276" w:lineRule="auto"/>
      </w:pPr>
      <w:r>
        <w:rPr>
          <w:rFonts w:ascii="Calibri" w:hAnsi="Calibri"/>
          <w:b/>
          <w:color w:val="1E1E1E"/>
          <w:sz w:val="21"/>
        </w:rPr>
        <w:t>2. Cumulative Community Impact:</w:t>
      </w:r>
      <w:r>
        <w:rPr>
          <w:rFonts w:ascii="Calibri" w:hAnsi="Calibri"/>
          <w:color w:val="333333"/>
          <w:sz w:val="21"/>
        </w:rPr>
        <w:t xml:space="preserve"> Disproportionate infrastructure strain on a rural community (e.g., lack of safe pedestrian connectivity along Chitterne Road).</w:t>
      </w:r>
    </w:p>
    <w:p>
      <w:pPr>
        <w:spacing w:before="0" w:after="80" w:line="276" w:lineRule="auto"/>
      </w:pPr>
      <w:r>
        <w:rPr>
          <w:rFonts w:ascii="Calibri" w:hAnsi="Calibri"/>
          <w:b/>
          <w:color w:val="1E1E1E"/>
          <w:sz w:val="21"/>
        </w:rPr>
        <w:t>3. Environmental &amp; Heritage Sensitivity:</w:t>
      </w:r>
      <w:r>
        <w:rPr>
          <w:rFonts w:ascii="Calibri" w:hAnsi="Calibri"/>
          <w:color w:val="333333"/>
          <w:sz w:val="21"/>
        </w:rPr>
        <w:t xml:space="preserve"> Significant potential adverse effects on European Protected Sites (River Wylye SAC) or Grade II listed heritage settings.</w:t>
      </w:r>
    </w:p>
    <w:p>
      <w:pPr>
        <w:keepNext/>
        <w:spacing w:before="280" w:after="80"/>
      </w:pPr>
      <w:r>
        <w:rPr>
          <w:rFonts w:ascii="Calibri" w:hAnsi="Calibri"/>
          <w:b/>
          <w:color w:val="003366"/>
          <w:sz w:val="26"/>
        </w:rPr>
        <w:t>3. EIA Schedule 2 Screening &amp; Habitats Regulations</w:t>
      </w:r>
    </w:p>
    <w:p>
      <w:pPr>
        <w:spacing w:before="0" w:after="80" w:line="276" w:lineRule="auto"/>
      </w:pPr>
      <w:r>
        <w:rPr>
          <w:rFonts w:ascii="Calibri" w:hAnsi="Calibri"/>
          <w:color w:val="333333"/>
          <w:sz w:val="21"/>
        </w:rPr>
        <w:t>Because the site lies within 1km hydrological connection of the River Wylye SAC and within the setting of the Cranborne Chase National Landscape, it is classed as a Schedule 2 Development under EIA Regulations.</w:t>
      </w:r>
    </w:p>
    <w:tbl>
      <w:tblPr>
        <w:tblW w:type="auto" w:w="0"/>
        <w:jc w:val="center"/>
        <w:tblLayout w:type="fixed"/>
        <w:tblLook w:firstColumn="1" w:firstRow="1" w:lastColumn="0" w:lastRow="0" w:noHBand="0" w:noVBand="1" w:val="04A0"/>
      </w:tblPr>
      <w:tblGrid>
        <w:gridCol w:w="9936"/>
      </w:tblGrid>
      <w:tr>
        <w:tc>
          <w:tcPr>
            <w:tcW w:type="dxa" w:w="9360"/>
            <w:shd w:fill="F0F9F8"/>
            <w:tcMar>
              <w:top w:w="160" w:type="dxa"/>
              <w:bottom w:w="160" w:type="dxa"/>
              <w:left w:w="200" w:type="dxa"/>
              <w:right w:w="200" w:type="dxa"/>
            </w:tcMar>
            <w:tcBorders>
              <w:top w:val="none"/>
              <w:left w:val="single" w:sz="36" w:space="0" w:color="008080"/>
              <w:bottom w:val="none"/>
              <w:right w:val="none"/>
            </w:tcBorders>
          </w:tcPr>
          <w:p>
            <w:pPr>
              <w:spacing w:before="0" w:after="80" w:line="276" w:lineRule="auto"/>
            </w:pPr>
            <w:r>
              <w:rPr>
                <w:rFonts w:ascii="Calibri" w:hAnsi="Calibri"/>
                <w:b/>
                <w:color w:val="003366"/>
                <w:sz w:val="22"/>
              </w:rPr>
              <w:t>STATUTORY ENVIRONMENTAL LEVERAGE</w:t>
              <w:br/>
            </w:r>
            <w:r>
              <w:rPr>
                <w:rFonts w:ascii="Calibri" w:hAnsi="Calibri"/>
                <w:color w:val="333333"/>
                <w:sz w:val="21"/>
              </w:rPr>
              <w:t>• Mandatory Habitats Regulations Assessment (HRA): Proves nutrient neutrality (phosphorus/nitrogen).</w:t>
              <w:br/>
              <w:t>• Constructed Wetland Reed Bed (250 PE): Necessary biological tertiary filter to prevent chalk stream degradation.</w:t>
              <w:br/>
              <w:t>• SuDS Attenuation &amp; Acoustic Bund (250m): Essential engineering conditions against surface runoff and A36 noise.</w:t>
            </w:r>
          </w:p>
        </w:tc>
      </w:tr>
    </w:tbl>
    <w:p>
      <w:pPr>
        <w:spacing w:after="120"/>
      </w:pPr>
    </w:p>
    <w:p>
      <w:pPr>
        <w:keepNext/>
        <w:spacing w:before="280" w:after="80"/>
      </w:pPr>
      <w:r>
        <w:rPr>
          <w:rFonts w:ascii="Calibri" w:hAnsi="Calibri"/>
          <w:b/>
          <w:color w:val="003366"/>
          <w:sz w:val="26"/>
        </w:rPr>
        <w:t>4. Strategic Action Plan for Codford Parish Council</w:t>
      </w:r>
    </w:p>
    <w:p>
      <w:pPr>
        <w:spacing w:before="0" w:after="80" w:line="276" w:lineRule="auto"/>
      </w:pPr>
      <w:r>
        <w:rPr>
          <w:rFonts w:ascii="Calibri" w:hAnsi="Calibri"/>
          <w:color w:val="333333"/>
          <w:sz w:val="21"/>
        </w:rPr>
        <w:t>1. Early Officer-Level S106 Negotiation: Engage immediately with Wiltshire Council case officers to lock in the £400k Village Hall Renewal, £260k Footway, and 30% local affordable housing (18 homes) into draft heads of terms.</w:t>
      </w:r>
    </w:p>
    <w:p>
      <w:pPr>
        <w:spacing w:before="0" w:after="80" w:line="276" w:lineRule="auto"/>
      </w:pPr>
      <w:r>
        <w:rPr>
          <w:rFonts w:ascii="Calibri" w:hAnsi="Calibri"/>
          <w:color w:val="333333"/>
          <w:sz w:val="21"/>
        </w:rPr>
        <w:t>2. Submit Gateway Test Referral Dossier: The Parish Clerk will submit a formal dossier to the Chief Planning Officer evidencing the 2.03-year housing deficit, 75.6% survey mandate, and SAC environmental constraints.</w:t>
      </w:r>
    </w:p>
    <w:p>
      <w:pPr>
        <w:spacing w:before="0" w:after="80" w:line="276" w:lineRule="auto"/>
      </w:pPr>
      <w:r>
        <w:rPr>
          <w:rFonts w:ascii="Calibri" w:hAnsi="Calibri"/>
          <w:color w:val="333333"/>
          <w:sz w:val="21"/>
        </w:rPr>
        <w:t>3. Co-ordinate with Unitary Councillor: Ensure the call-in submission is drafted precisely to the statutory language of the 2026 Regulations.</w:t>
      </w:r>
    </w:p>
    <w:p>
      <w:pPr>
        <w:spacing w:before="0" w:after="80" w:line="276" w:lineRule="auto"/>
      </w:pPr>
      <w:r>
        <w:rPr>
          <w:rFonts w:ascii="Calibri" w:hAnsi="Calibri"/>
          <w:color w:val="333333"/>
          <w:sz w:val="21"/>
        </w:rPr>
        <w:t>4. Maintain Evidence-Led Community Feedback: Ensure resident submissions focus strictly on material planning considerations.</w:t>
      </w: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808080"/>
        <w:sz w:val="17"/>
      </w:rPr>
      <w:t>Codford Parish Council • Planning Advisory: October 31st 2026 Reforms &amp; Schedule 2 • Confidential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